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1.1. Настоящая Политика в отношении обработки персональных данных (далее – Политика) определяет средства, цели и принципы </w:t>
      </w:r>
      <w:bookmarkStart w:id="1" w:name="_GoBack"/>
      <w:bookmarkEnd w:id="1"/>
      <w:r>
        <w:rPr>
          <w:rFonts w:ascii="Times New Roman" w:hAnsi="Times New Roman" w:cs="Times New Roman"/>
          <w:sz w:val="22"/>
          <w:szCs w:val="22"/>
        </w:rPr>
        <w:t>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netztec.ru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netztec.ru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netztec.ru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netztec.ru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netztec.ru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netztec.ru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netztec.ru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7FEFB037"/>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2026-02-21T23:05:38Z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